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69FAC632" w:rsidR="00807DDC" w:rsidRPr="00807DDC" w:rsidRDefault="004B5C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Umowa Nr        </w:t>
      </w:r>
      <w:r w:rsidR="00545FEA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3</w:t>
      </w: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/2025</w:t>
      </w:r>
    </w:p>
    <w:p w14:paraId="3674F099" w14:textId="77777777" w:rsidR="00545FEA" w:rsidRDefault="00545FEA" w:rsidP="00545FEA">
      <w:pPr>
        <w:pStyle w:val="Podpis1"/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  <w:i w:val="0"/>
        </w:rPr>
        <w:t>NA DOSTAWY ŚWIEŻYCH WARZYW I OWOCÓW</w:t>
      </w:r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3516945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="004B5C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.2025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3C0785E7" w14:textId="77777777" w:rsidR="00EE2C14" w:rsidRDefault="00EE2C14" w:rsidP="00EE2C14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Piaseczno</w:t>
      </w:r>
      <w:r>
        <w:rPr>
          <w:rFonts w:ascii="Times New Roman" w:hAnsi="Times New Roman" w:cs="Times New Roman"/>
          <w:sz w:val="24"/>
          <w:szCs w:val="24"/>
        </w:rPr>
        <w:t xml:space="preserve"> ul. Kościuszki 5, 05-500 Piaseczno NIP: 123-12-10 -962  w imieniu której działa </w:t>
      </w:r>
      <w:r w:rsidRPr="0008489A">
        <w:rPr>
          <w:rFonts w:ascii="Times New Roman" w:hAnsi="Times New Roman" w:cs="Times New Roman"/>
          <w:b/>
          <w:sz w:val="24"/>
          <w:szCs w:val="24"/>
        </w:rPr>
        <w:t xml:space="preserve">Dyrektor Szkoły Podstawowej im. Wspólnej Europy – </w:t>
      </w: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Pr="0008489A">
        <w:rPr>
          <w:rFonts w:ascii="Times New Roman" w:hAnsi="Times New Roman" w:cs="Times New Roman"/>
          <w:b/>
          <w:sz w:val="24"/>
          <w:szCs w:val="24"/>
        </w:rPr>
        <w:t>Irina Maleszewska</w:t>
      </w:r>
      <w:r>
        <w:rPr>
          <w:rFonts w:ascii="Times New Roman" w:hAnsi="Times New Roman" w:cs="Times New Roman"/>
          <w:sz w:val="24"/>
          <w:szCs w:val="24"/>
        </w:rPr>
        <w:t>, działająca na podstawie pełnomocnictwa Burmistrza Miasta i Gminy Piaseczno nr ADK.0052.188.2023 z dnia 01.09.2023r.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61611134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z rejestru przedsiębiorców pobrana na podstawie art. 4 ust. 4 aa ustawy z dnia 20 sierpnia 1997 r. o Krajowym Reje</w:t>
      </w:r>
      <w:r w:rsidR="00C872EF">
        <w:rPr>
          <w:rFonts w:ascii="Times New Roman" w:eastAsia="Calibri" w:hAnsi="Times New Roman" w:cs="Times New Roman"/>
          <w:color w:val="000000"/>
          <w:sz w:val="24"/>
          <w:szCs w:val="24"/>
        </w:rPr>
        <w:t>strze Sądowym (tj. Dz.U. z 2025 r. poz. 869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dla wyżej wymienionej spółki znajduję się w załączniku nr 1 do niniejszej Umowy, </w:t>
      </w:r>
    </w:p>
    <w:p w14:paraId="27A8AE75" w14:textId="4656A74E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( w przypadk</w:t>
      </w:r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u przedsiębiorcy wpisanego do </w:t>
      </w:r>
      <w:proofErr w:type="spellStart"/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CEiD</w:t>
      </w: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4142E52E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w trybie podstawowym na podstawie art. 275 pkt 1 ustawy z dnia 11 września 2019 r. Prawo Za</w:t>
      </w:r>
      <w:r w:rsidR="00C872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mówień Publicznych (Dz.U. z 2024 r. poz. 1320</w:t>
      </w:r>
      <w:r w:rsidR="006219D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ze zm.)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41EDB313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świeżych warzyw i owoców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65BD95D0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</w:t>
      </w:r>
      <w:r w:rsidR="00C872EF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mówień Publicznych (Dz.U. z 2024 r. poz. 1320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 xml:space="preserve"> ze zm.) rozstrzygniętego dnia ……………………… r.</w:t>
      </w:r>
    </w:p>
    <w:p w14:paraId="2647AD2F" w14:textId="6DFC4E6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dostawa </w:t>
      </w:r>
      <w:r w:rsidR="0025173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świeżych owoców i warzyw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część.</w:t>
      </w:r>
    </w:p>
    <w:p w14:paraId="26CBBC44" w14:textId="3C287B08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 przypadku niewykorzystania do końca terminu, na który została zawarta umowa,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to jest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9B86E43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ycznia 2026 r. 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potrzeb Zamawiającego. Terminy realizacji dostaw będą wskazywane przez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53EDE7C5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Miejsce realizacji dostawy przedmiotu umowy: magazyn Zamawiającego ul.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Sarenki 20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,05-5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4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Zalesie Górne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 godz.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7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–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8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9:00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807DDC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6450A7E4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Strony zgodnie ustalają, że cechami dyskwalifikującymi dla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świeżych owoców i warzyw </w:t>
      </w:r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54B1DE1C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im.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Wspólnej Europy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w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Zalesiu Górnym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Sarenki 20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05-5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0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Zalesie Górne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6E2E7B90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1. Zamawiający zastrzega sobie prawo wypowiedzenia niniejszej umowy w trybie natychmiastowy</w:t>
      </w:r>
      <w:r w:rsidR="00F3638F">
        <w:rPr>
          <w:rFonts w:ascii="Times New Roman" w:eastAsia="Times New Roman" w:hAnsi="Times New Roman" w:cs="Times New Roman"/>
          <w:sz w:val="24"/>
          <w:szCs w:val="24"/>
        </w:rPr>
        <w:t>m</w:t>
      </w:r>
      <w:bookmarkStart w:id="0" w:name="_GoBack"/>
      <w:bookmarkEnd w:id="0"/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27145AF5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</w:t>
      </w:r>
      <w:r w:rsidR="006219D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eczeń Społecznych (Dz. U. z 2024 r. poz.1631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13D52F16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Pani </w:t>
      </w:r>
      <w:r w:rsidR="00D84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Joanna Dudzińska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6359629A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Odpis z KRS lub w</w:t>
      </w:r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ydruk z </w:t>
      </w:r>
      <w:proofErr w:type="spellStart"/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CEiD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2963B" w14:textId="77777777" w:rsidR="00DC44A7" w:rsidRDefault="00DC44A7" w:rsidP="004C358D">
      <w:pPr>
        <w:spacing w:after="0" w:line="240" w:lineRule="auto"/>
      </w:pPr>
      <w:r>
        <w:separator/>
      </w:r>
    </w:p>
  </w:endnote>
  <w:endnote w:type="continuationSeparator" w:id="0">
    <w:p w14:paraId="6E4307EB" w14:textId="77777777" w:rsidR="00DC44A7" w:rsidRDefault="00DC44A7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3762" w14:textId="1D7210BA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6219DD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2B04C" w14:textId="77777777" w:rsidR="00DC44A7" w:rsidRDefault="00DC44A7" w:rsidP="004C358D">
      <w:pPr>
        <w:spacing w:after="0" w:line="240" w:lineRule="auto"/>
      </w:pPr>
      <w:r>
        <w:separator/>
      </w:r>
    </w:p>
  </w:footnote>
  <w:footnote w:type="continuationSeparator" w:id="0">
    <w:p w14:paraId="2F2718D1" w14:textId="77777777" w:rsidR="00DC44A7" w:rsidRDefault="00DC44A7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DC"/>
    <w:rsid w:val="000D05A3"/>
    <w:rsid w:val="0025173F"/>
    <w:rsid w:val="00365923"/>
    <w:rsid w:val="003B37D0"/>
    <w:rsid w:val="004B5CDC"/>
    <w:rsid w:val="004C358D"/>
    <w:rsid w:val="00545FEA"/>
    <w:rsid w:val="006219DD"/>
    <w:rsid w:val="00657AA9"/>
    <w:rsid w:val="00807DDC"/>
    <w:rsid w:val="008B30FA"/>
    <w:rsid w:val="009D75BC"/>
    <w:rsid w:val="00BF52D2"/>
    <w:rsid w:val="00C872EF"/>
    <w:rsid w:val="00D84DDC"/>
    <w:rsid w:val="00DC44A7"/>
    <w:rsid w:val="00EE2C14"/>
    <w:rsid w:val="00F3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docId w15:val="{ECC6A1AE-A689-4F69-A166-16843E17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  <w:style w:type="paragraph" w:customStyle="1" w:styleId="Standard">
    <w:name w:val="Standard"/>
    <w:next w:val="Normalny"/>
    <w:rsid w:val="00EE2C14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 w:bidi="hi-IN"/>
    </w:rPr>
  </w:style>
  <w:style w:type="paragraph" w:customStyle="1" w:styleId="Podpis1">
    <w:name w:val="Podpis1"/>
    <w:basedOn w:val="Normalny"/>
    <w:next w:val="Normalny"/>
    <w:rsid w:val="00545FEA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3289</Words>
  <Characters>19738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Kuchnia</cp:lastModifiedBy>
  <cp:revision>4</cp:revision>
  <cp:lastPrinted>2024-09-17T06:38:00Z</cp:lastPrinted>
  <dcterms:created xsi:type="dcterms:W3CDTF">2025-10-13T12:56:00Z</dcterms:created>
  <dcterms:modified xsi:type="dcterms:W3CDTF">2025-10-22T07:01:00Z</dcterms:modified>
</cp:coreProperties>
</file>